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223A82">
        <w:trPr>
          <w:trHeight w:val="340"/>
        </w:trPr>
        <w:tc>
          <w:tcPr>
            <w:tcW w:w="3090" w:type="dxa"/>
            <w:shd w:val="clear" w:color="auto" w:fill="F9F9F9"/>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2992B439" w:rsidR="00A70556" w:rsidRDefault="00AB7481" w:rsidP="0034573D">
            <w:pPr>
              <w:spacing w:after="0" w:line="276" w:lineRule="auto"/>
            </w:pPr>
            <w:r>
              <w:t>Apoyo a Migrantes</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AB7481" w14:paraId="1D014C1E" w14:textId="77777777" w:rsidTr="009F4211">
        <w:trPr>
          <w:trHeight w:val="340"/>
        </w:trPr>
        <w:tc>
          <w:tcPr>
            <w:tcW w:w="4712" w:type="dxa"/>
            <w:gridSpan w:val="2"/>
            <w:vAlign w:val="center"/>
          </w:tcPr>
          <w:p w14:paraId="404D8B68" w14:textId="29166DB7" w:rsidR="00B861E0" w:rsidRPr="00AB7481" w:rsidRDefault="00AB7481" w:rsidP="00A123E6">
            <w:pPr>
              <w:spacing w:after="0" w:line="276" w:lineRule="auto"/>
              <w:jc w:val="center"/>
            </w:pPr>
            <w:r w:rsidRPr="00AB7481">
              <w:t>01/01/2026</w:t>
            </w:r>
          </w:p>
        </w:tc>
        <w:tc>
          <w:tcPr>
            <w:tcW w:w="5206" w:type="dxa"/>
            <w:gridSpan w:val="2"/>
            <w:vAlign w:val="center"/>
          </w:tcPr>
          <w:p w14:paraId="79E9E4F4" w14:textId="7C6F1A58" w:rsidR="00B861E0" w:rsidRPr="00AB7481" w:rsidRDefault="00AB7481" w:rsidP="00A123E6">
            <w:pPr>
              <w:spacing w:after="0" w:line="276" w:lineRule="auto"/>
              <w:jc w:val="center"/>
            </w:pPr>
            <w:r w:rsidRPr="00AB7481">
              <w:t>15/07/2026</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AB7481" w14:paraId="37454C6A" w14:textId="77777777" w:rsidTr="00E06043">
        <w:trPr>
          <w:trHeight w:val="340"/>
        </w:trPr>
        <w:tc>
          <w:tcPr>
            <w:tcW w:w="9918" w:type="dxa"/>
            <w:gridSpan w:val="4"/>
          </w:tcPr>
          <w:p w14:paraId="78C4F704" w14:textId="127C6C37" w:rsidR="009F4211" w:rsidRPr="00AB7481" w:rsidRDefault="00AB7481" w:rsidP="009F4211">
            <w:pPr>
              <w:pStyle w:val="Prrafodelista"/>
              <w:spacing w:after="0" w:line="276" w:lineRule="auto"/>
              <w:ind w:left="37"/>
              <w:jc w:val="both"/>
            </w:pPr>
            <w:r w:rsidRPr="00AB7481">
              <w:t>Psic. Gabriela Soto Miller, Responsable del SIGED, Sinaloa</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0594FCD3" w:rsidR="00B920F2" w:rsidRDefault="00AB7481" w:rsidP="00521401">
      <w:pPr>
        <w:pStyle w:val="Prrafodelista"/>
        <w:spacing w:after="0" w:line="276" w:lineRule="auto"/>
        <w:ind w:left="142"/>
        <w:jc w:val="both"/>
      </w:pPr>
      <w:r w:rsidRPr="00AB7481">
        <w:t>Contribuir a la mejora de la consistencia y orientación a resultados del Programa presupuestario (Pp) S036 Programa Apoyo a Migrantes,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3A4599EB" w14:textId="77777777" w:rsidR="00AB7481" w:rsidRDefault="00AB7481" w:rsidP="00AB7481">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1B2EA863" w14:textId="77777777" w:rsidR="00AB7481" w:rsidRDefault="00AB7481" w:rsidP="00AB7481">
      <w:pPr>
        <w:pStyle w:val="Prrafodelista"/>
        <w:numPr>
          <w:ilvl w:val="0"/>
          <w:numId w:val="2"/>
        </w:numPr>
        <w:spacing w:after="0" w:line="276" w:lineRule="auto"/>
        <w:jc w:val="both"/>
      </w:pPr>
      <w:r>
        <w:t>Analizar y valorar los instrumentos de planeación y orientación a resultados con los que cuenta el Pp;</w:t>
      </w:r>
    </w:p>
    <w:p w14:paraId="67FE9389" w14:textId="77777777" w:rsidR="00AB7481" w:rsidRDefault="00AB7481" w:rsidP="00AB7481">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2C6EEA1A" w14:textId="77777777" w:rsidR="00AB7481" w:rsidRDefault="00AB7481" w:rsidP="00AB7481">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3617C089" w14:textId="77777777" w:rsidR="00AB7481" w:rsidRDefault="00AB7481" w:rsidP="00AB7481">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4842207C" w14:textId="77777777" w:rsidR="00AB7481" w:rsidRDefault="00AB7481" w:rsidP="00AB7481">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AB7481">
        <w:t xml:space="preserve">Trabajo de escritorio, mediante el cumplimiento de los Términos de Referencia para la Evaluación </w:t>
      </w:r>
      <w:r w:rsidR="0034573D" w:rsidRPr="00AB7481">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AB7481" w:rsidRDefault="0034573D" w:rsidP="0034573D">
            <w:pPr>
              <w:spacing w:after="0" w:line="240" w:lineRule="auto"/>
              <w:jc w:val="center"/>
              <w:rPr>
                <w:bCs/>
              </w:rPr>
            </w:pPr>
            <w:r w:rsidRPr="00AB7481">
              <w:rPr>
                <w:bCs/>
              </w:rPr>
              <w:t>X</w:t>
            </w:r>
          </w:p>
        </w:tc>
        <w:tc>
          <w:tcPr>
            <w:tcW w:w="2126" w:type="dxa"/>
            <w:vAlign w:val="center"/>
          </w:tcPr>
          <w:p w14:paraId="1F71ABFD" w14:textId="77777777" w:rsidR="00581B4A" w:rsidRPr="00AB7481" w:rsidRDefault="00581B4A" w:rsidP="00090637">
            <w:pPr>
              <w:spacing w:after="0" w:line="276" w:lineRule="auto"/>
              <w:jc w:val="center"/>
              <w:rPr>
                <w:b/>
                <w:bCs/>
              </w:rPr>
            </w:pPr>
          </w:p>
        </w:tc>
        <w:tc>
          <w:tcPr>
            <w:tcW w:w="1843" w:type="dxa"/>
            <w:vAlign w:val="center"/>
          </w:tcPr>
          <w:p w14:paraId="66DFD63C" w14:textId="77777777" w:rsidR="00581B4A" w:rsidRPr="00AB7481" w:rsidRDefault="00581B4A" w:rsidP="00090637">
            <w:pPr>
              <w:spacing w:after="0" w:line="276" w:lineRule="auto"/>
              <w:jc w:val="center"/>
            </w:pPr>
            <w:r w:rsidRPr="00AB7481">
              <w:t>X</w:t>
            </w:r>
          </w:p>
        </w:tc>
        <w:tc>
          <w:tcPr>
            <w:tcW w:w="3260" w:type="dxa"/>
            <w:vAlign w:val="center"/>
          </w:tcPr>
          <w:p w14:paraId="342AA705" w14:textId="77777777" w:rsidR="00581B4A" w:rsidRPr="00AB7481" w:rsidRDefault="00581B4A" w:rsidP="00090637">
            <w:pPr>
              <w:spacing w:after="0" w:line="276" w:lineRule="auto"/>
              <w:jc w:val="center"/>
            </w:pPr>
            <w:r w:rsidRPr="00AB7481">
              <w:t>Esquema de la Evaluación</w:t>
            </w:r>
          </w:p>
          <w:p w14:paraId="635641E2" w14:textId="4A2E2A15" w:rsidR="00581B4A" w:rsidRPr="00581B4A" w:rsidRDefault="00EC7832" w:rsidP="00090637">
            <w:pPr>
              <w:spacing w:after="0" w:line="276" w:lineRule="auto"/>
              <w:jc w:val="center"/>
              <w:rPr>
                <w:b/>
                <w:bCs/>
              </w:rPr>
            </w:pPr>
            <w:r w:rsidRPr="00AB7481">
              <w:t>d</w:t>
            </w:r>
            <w:r w:rsidR="0034573D" w:rsidRPr="00AB7481">
              <w:t>e Consistencia y Resultados</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D22A2D">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lastRenderedPageBreak/>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1B1F73E" w14:textId="77777777" w:rsidR="00EB1879" w:rsidRDefault="00EB1879" w:rsidP="00EB1879">
      <w:pPr>
        <w:ind w:left="284"/>
        <w:jc w:val="both"/>
      </w:pPr>
      <w:r>
        <w:t>Derivado de la evaluación del programa se tiene que la Valoración Final de los resultados fue de 2.5 (promedio de cumplimiento porcentual sobre el total de puntos) a través de la asignación de puntajes en cada sección valorada de forma cuantitativa:</w:t>
      </w:r>
    </w:p>
    <w:p w14:paraId="5367098C" w14:textId="5C03A841" w:rsidR="00EB1879" w:rsidRDefault="00EB1879" w:rsidP="00EB1879">
      <w:pPr>
        <w:pStyle w:val="Prrafodelista"/>
        <w:numPr>
          <w:ilvl w:val="0"/>
          <w:numId w:val="31"/>
        </w:numPr>
        <w:spacing w:line="276" w:lineRule="auto"/>
        <w:jc w:val="both"/>
      </w:pPr>
      <w:r>
        <w:t xml:space="preserve">En el módulo Diseño, se obtuvieron 29 de los 40 puntos disponibles, lo que representa un 72.5% de cumplimiento. </w:t>
      </w:r>
    </w:p>
    <w:p w14:paraId="32E62730" w14:textId="3AB56580" w:rsidR="00EB1879" w:rsidRDefault="00EB1879" w:rsidP="00EB1879">
      <w:pPr>
        <w:pStyle w:val="Prrafodelista"/>
        <w:numPr>
          <w:ilvl w:val="0"/>
          <w:numId w:val="31"/>
        </w:numPr>
        <w:spacing w:line="276" w:lineRule="auto"/>
        <w:jc w:val="both"/>
      </w:pPr>
      <w:r>
        <w:t xml:space="preserve">En el módulo Planeación y orientación a resultados se obtuvieron 20 de los 24 puntos disponibles, alcanzando un 83% de cumplimiento. </w:t>
      </w:r>
    </w:p>
    <w:p w14:paraId="427A226C" w14:textId="7EE88EA6" w:rsidR="00EB1879" w:rsidRDefault="00EB1879" w:rsidP="00EB1879">
      <w:pPr>
        <w:pStyle w:val="Prrafodelista"/>
        <w:numPr>
          <w:ilvl w:val="0"/>
          <w:numId w:val="31"/>
        </w:numPr>
        <w:spacing w:line="276" w:lineRule="auto"/>
        <w:jc w:val="both"/>
      </w:pPr>
      <w:r>
        <w:t xml:space="preserve">En el módulo de Cobertura y focalización se obtuvieron 2 de los 4 puntos disponibles, lo que representa un 50% de cumplimiento.  En el módulo Operación la valoración fue crítica, obteniendo 18 de los 40 puntos disponibles, lo que equivale a un 45% de cumplimiento. </w:t>
      </w:r>
    </w:p>
    <w:p w14:paraId="628755BC" w14:textId="61D68CE8" w:rsidR="00EB1879" w:rsidRDefault="00EB1879" w:rsidP="00EB1879">
      <w:pPr>
        <w:pStyle w:val="Prrafodelista"/>
        <w:numPr>
          <w:ilvl w:val="0"/>
          <w:numId w:val="31"/>
        </w:numPr>
        <w:spacing w:line="276" w:lineRule="auto"/>
        <w:jc w:val="both"/>
      </w:pPr>
      <w:r>
        <w:t xml:space="preserve">En el módulo de Percepción de la población atendida se obtuvo una puntuación de 0 de los 4 puntos disponibles, resultando en un 0% de cumplimiento debido a la falta de instrumentos de medición de satisfacción.  </w:t>
      </w:r>
    </w:p>
    <w:p w14:paraId="143FD814" w14:textId="21D6ED33" w:rsidR="00EB1879" w:rsidRPr="002F6A18" w:rsidRDefault="00EB1879" w:rsidP="00EB1879">
      <w:pPr>
        <w:pStyle w:val="Prrafodelista"/>
        <w:numPr>
          <w:ilvl w:val="0"/>
          <w:numId w:val="31"/>
        </w:numPr>
        <w:spacing w:line="276" w:lineRule="auto"/>
        <w:jc w:val="both"/>
      </w:pPr>
      <w:r>
        <w:t xml:space="preserve">En el módulo Medición de resultados se obtuvieron 10 de los 12 puntos disponibles, logrando un 83.3% de cumplimiento respecto a las metas programadas.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4D5687B5" w:rsidR="00B72B03" w:rsidRDefault="00B72B03" w:rsidP="00975299">
      <w:pPr>
        <w:pStyle w:val="Prrafodelista"/>
        <w:numPr>
          <w:ilvl w:val="2"/>
          <w:numId w:val="5"/>
        </w:numPr>
        <w:spacing w:after="0" w:line="276" w:lineRule="auto"/>
        <w:ind w:left="993" w:hanging="567"/>
        <w:jc w:val="both"/>
        <w:rPr>
          <w:b/>
          <w:bCs/>
        </w:rPr>
      </w:pPr>
      <w:r>
        <w:rPr>
          <w:b/>
          <w:bCs/>
        </w:rPr>
        <w:t>Fortalezas</w:t>
      </w:r>
      <w:r w:rsidR="00EB1879">
        <w:rPr>
          <w:b/>
          <w:bCs/>
        </w:rPr>
        <w:t xml:space="preserve"> y Oportunidades:</w:t>
      </w:r>
    </w:p>
    <w:p w14:paraId="356868BE" w14:textId="77777777" w:rsidR="00EB1879" w:rsidRDefault="00EB1879" w:rsidP="00293617">
      <w:pPr>
        <w:pStyle w:val="Prrafodelista"/>
        <w:numPr>
          <w:ilvl w:val="0"/>
          <w:numId w:val="8"/>
        </w:numPr>
        <w:spacing w:line="276" w:lineRule="auto"/>
        <w:jc w:val="both"/>
      </w:pPr>
      <w:r>
        <w:t>El programa cuenta con una MIR y fichas técnicas alineadas al objetivo de atención educativa de población migrante.</w:t>
      </w:r>
    </w:p>
    <w:p w14:paraId="01871266" w14:textId="77777777" w:rsidR="00EB1879" w:rsidRDefault="00EB1879" w:rsidP="00293617">
      <w:pPr>
        <w:pStyle w:val="Prrafodelista"/>
        <w:numPr>
          <w:ilvl w:val="0"/>
          <w:numId w:val="8"/>
        </w:numPr>
        <w:spacing w:line="276" w:lineRule="auto"/>
        <w:jc w:val="both"/>
      </w:pPr>
      <w:r>
        <w:t>La modalidad presupuestaria “S” es congruente con el mecanismo de intervención y con las Reglas de Operación federales.</w:t>
      </w:r>
    </w:p>
    <w:p w14:paraId="35D99092" w14:textId="77777777" w:rsidR="00EB1879" w:rsidRDefault="00EB1879" w:rsidP="00293617">
      <w:pPr>
        <w:pStyle w:val="Prrafodelista"/>
        <w:numPr>
          <w:ilvl w:val="0"/>
          <w:numId w:val="8"/>
        </w:numPr>
        <w:spacing w:line="276" w:lineRule="auto"/>
        <w:jc w:val="both"/>
      </w:pPr>
      <w:r>
        <w:t>El programa identifica y define su población potencial, objetivo y atendida mediante registros institucionales y claves de centros de trabajo.</w:t>
      </w:r>
    </w:p>
    <w:p w14:paraId="768C0FBF" w14:textId="77777777" w:rsidR="00EB1879" w:rsidRDefault="00EB1879" w:rsidP="00293617">
      <w:pPr>
        <w:pStyle w:val="Prrafodelista"/>
        <w:numPr>
          <w:ilvl w:val="0"/>
          <w:numId w:val="8"/>
        </w:numPr>
        <w:spacing w:line="276" w:lineRule="auto"/>
        <w:jc w:val="both"/>
      </w:pPr>
      <w:r>
        <w:t>Existen metas e indicadores orientados al seguimiento de cobertura educativa y contratación docente.</w:t>
      </w:r>
    </w:p>
    <w:p w14:paraId="76450E77" w14:textId="77777777" w:rsidR="00EB1879" w:rsidRDefault="00EB1879" w:rsidP="00293617">
      <w:pPr>
        <w:pStyle w:val="Prrafodelista"/>
        <w:numPr>
          <w:ilvl w:val="0"/>
          <w:numId w:val="8"/>
        </w:numPr>
        <w:spacing w:line="276" w:lineRule="auto"/>
        <w:jc w:val="both"/>
      </w:pPr>
      <w:r>
        <w:t>El programa cuenta con seguimiento a Aspectos Susceptibles de Mejora (ASM) y evidencia de atención a recomendaciones derivadas de evaluaciones.</w:t>
      </w:r>
    </w:p>
    <w:p w14:paraId="5248E3A4" w14:textId="77777777" w:rsidR="00EB1879" w:rsidRDefault="00EB1879" w:rsidP="00293617">
      <w:pPr>
        <w:pStyle w:val="Prrafodelista"/>
        <w:numPr>
          <w:ilvl w:val="0"/>
          <w:numId w:val="8"/>
        </w:numPr>
        <w:spacing w:line="276" w:lineRule="auto"/>
        <w:jc w:val="both"/>
      </w:pPr>
      <w:r>
        <w:t>Los procedimientos operativos consideran las características de la población migrante y la movilidad de los beneficiarios.</w:t>
      </w:r>
    </w:p>
    <w:p w14:paraId="5151E085" w14:textId="77777777" w:rsidR="00EB1879" w:rsidRDefault="00EB1879" w:rsidP="00293617">
      <w:pPr>
        <w:pStyle w:val="Prrafodelista"/>
        <w:numPr>
          <w:ilvl w:val="0"/>
          <w:numId w:val="8"/>
        </w:numPr>
        <w:spacing w:line="276" w:lineRule="auto"/>
        <w:jc w:val="both"/>
      </w:pPr>
      <w:r>
        <w:t>Existe coordinación con sistemas institucionales como Control Escolar Estatal, Departamento de Estadística y plataformas de transparencia.</w:t>
      </w:r>
    </w:p>
    <w:p w14:paraId="4D1F3544" w14:textId="77777777" w:rsidR="00EB1879" w:rsidRDefault="00EB1879" w:rsidP="00293617">
      <w:pPr>
        <w:pStyle w:val="Prrafodelista"/>
        <w:numPr>
          <w:ilvl w:val="0"/>
          <w:numId w:val="8"/>
        </w:numPr>
        <w:spacing w:line="276" w:lineRule="auto"/>
        <w:jc w:val="both"/>
      </w:pPr>
      <w:r>
        <w:t>El programa publica información relacionada con contratación docente y seguimiento administrativo en plataformas oficiales.</w:t>
      </w:r>
    </w:p>
    <w:p w14:paraId="414B6192" w14:textId="77777777" w:rsidR="00EB1879" w:rsidRDefault="00EB1879" w:rsidP="00293617">
      <w:pPr>
        <w:pStyle w:val="Prrafodelista"/>
        <w:numPr>
          <w:ilvl w:val="0"/>
          <w:numId w:val="8"/>
        </w:numPr>
        <w:spacing w:line="276" w:lineRule="auto"/>
        <w:jc w:val="both"/>
      </w:pPr>
      <w:r>
        <w:t>La mayoría de los indicadores estratégicos y de gestión presentan avances satisfactorios respecto a las metas programadas.</w:t>
      </w:r>
    </w:p>
    <w:p w14:paraId="0983D7BA" w14:textId="03EAFF26" w:rsidR="00B72B03" w:rsidRPr="00B72B03" w:rsidRDefault="00EB1879" w:rsidP="00293617">
      <w:pPr>
        <w:pStyle w:val="Prrafodelista"/>
        <w:numPr>
          <w:ilvl w:val="0"/>
          <w:numId w:val="8"/>
        </w:numPr>
        <w:spacing w:line="276" w:lineRule="auto"/>
        <w:jc w:val="both"/>
      </w:pPr>
      <w:r>
        <w:t>El programa contribuye al fortalecimiento de la cobertura educativa en zonas agrícolas con atención a población migrante.</w:t>
      </w:r>
    </w:p>
    <w:p w14:paraId="5B3242D7" w14:textId="652C3FC6"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lastRenderedPageBreak/>
        <w:t>Debilidades</w:t>
      </w:r>
      <w:r w:rsidR="00EB1879">
        <w:rPr>
          <w:b/>
          <w:bCs/>
        </w:rPr>
        <w:t xml:space="preserve"> y Amenazas</w:t>
      </w:r>
      <w:r w:rsidRPr="003E1018">
        <w:rPr>
          <w:b/>
          <w:bCs/>
        </w:rPr>
        <w:t>:</w:t>
      </w:r>
    </w:p>
    <w:p w14:paraId="2BCC8384" w14:textId="77777777" w:rsidR="00EB1879" w:rsidRDefault="00EB1879" w:rsidP="00293617">
      <w:pPr>
        <w:pStyle w:val="Prrafodelista"/>
        <w:numPr>
          <w:ilvl w:val="0"/>
          <w:numId w:val="8"/>
        </w:numPr>
        <w:spacing w:line="276" w:lineRule="auto"/>
        <w:jc w:val="both"/>
      </w:pPr>
      <w:r>
        <w:t>El programa no cuenta con Reglas de Operación estatales propias formalmente emitidas.</w:t>
      </w:r>
    </w:p>
    <w:p w14:paraId="5FDE1A38" w14:textId="77777777" w:rsidR="00EB1879" w:rsidRDefault="00EB1879" w:rsidP="00293617">
      <w:pPr>
        <w:pStyle w:val="Prrafodelista"/>
        <w:numPr>
          <w:ilvl w:val="0"/>
          <w:numId w:val="8"/>
        </w:numPr>
        <w:spacing w:line="276" w:lineRule="auto"/>
        <w:jc w:val="both"/>
      </w:pPr>
      <w:r>
        <w:t>No existe una estrategia integral de cobertura documentada con proyecciones presupuestarias multianuales.</w:t>
      </w:r>
    </w:p>
    <w:p w14:paraId="66A0CA2E" w14:textId="77777777" w:rsidR="00EB1879" w:rsidRDefault="00EB1879" w:rsidP="00293617">
      <w:pPr>
        <w:pStyle w:val="Prrafodelista"/>
        <w:numPr>
          <w:ilvl w:val="0"/>
          <w:numId w:val="8"/>
        </w:numPr>
        <w:spacing w:line="276" w:lineRule="auto"/>
        <w:jc w:val="both"/>
      </w:pPr>
      <w:r>
        <w:t>No se cuenta con evaluaciones de impacto ni seguimiento longitudinal de la población atendida.</w:t>
      </w:r>
    </w:p>
    <w:p w14:paraId="41793FDF" w14:textId="77777777" w:rsidR="00EB1879" w:rsidRDefault="00EB1879" w:rsidP="00293617">
      <w:pPr>
        <w:pStyle w:val="Prrafodelista"/>
        <w:numPr>
          <w:ilvl w:val="0"/>
          <w:numId w:val="8"/>
        </w:numPr>
        <w:spacing w:line="276" w:lineRule="auto"/>
        <w:jc w:val="both"/>
      </w:pPr>
      <w:r>
        <w:t>La información de desempeño se concentra en indicadores operativos y de cobertura.</w:t>
      </w:r>
    </w:p>
    <w:p w14:paraId="63941CD6" w14:textId="77777777" w:rsidR="00EB1879" w:rsidRDefault="00EB1879" w:rsidP="00293617">
      <w:pPr>
        <w:pStyle w:val="Prrafodelista"/>
        <w:numPr>
          <w:ilvl w:val="0"/>
          <w:numId w:val="8"/>
        </w:numPr>
        <w:spacing w:line="276" w:lineRule="auto"/>
        <w:jc w:val="both"/>
      </w:pPr>
      <w:r>
        <w:t>No se presentó evidencia suficiente de manuales integrales de procedimientos estandarizados.</w:t>
      </w:r>
    </w:p>
    <w:p w14:paraId="44231AE1" w14:textId="77777777" w:rsidR="00EB1879" w:rsidRDefault="00EB1879" w:rsidP="00293617">
      <w:pPr>
        <w:pStyle w:val="Prrafodelista"/>
        <w:numPr>
          <w:ilvl w:val="0"/>
          <w:numId w:val="8"/>
        </w:numPr>
        <w:spacing w:line="276" w:lineRule="auto"/>
        <w:jc w:val="both"/>
      </w:pPr>
      <w:r>
        <w:t>Existen desfases y discrepancias entre sistemas de información institucionales debido a la movilidad de la población migrante.</w:t>
      </w:r>
    </w:p>
    <w:p w14:paraId="11CAFB1D" w14:textId="77777777" w:rsidR="00EB1879" w:rsidRDefault="00EB1879" w:rsidP="00293617">
      <w:pPr>
        <w:pStyle w:val="Prrafodelista"/>
        <w:numPr>
          <w:ilvl w:val="0"/>
          <w:numId w:val="8"/>
        </w:numPr>
        <w:spacing w:line="276" w:lineRule="auto"/>
        <w:jc w:val="both"/>
      </w:pPr>
      <w:r>
        <w:t>El reclutamiento y permanencia de docentes representa un reto operativo recurrente.</w:t>
      </w:r>
    </w:p>
    <w:p w14:paraId="3310450D" w14:textId="77777777" w:rsidR="00EB1879" w:rsidRDefault="00EB1879" w:rsidP="00293617">
      <w:pPr>
        <w:pStyle w:val="Prrafodelista"/>
        <w:numPr>
          <w:ilvl w:val="0"/>
          <w:numId w:val="8"/>
        </w:numPr>
        <w:spacing w:line="276" w:lineRule="auto"/>
        <w:jc w:val="both"/>
      </w:pPr>
      <w:r>
        <w:t>No se identificaron mecanismos formales de participación ciudadana en la toma de decisiones del programa.</w:t>
      </w:r>
    </w:p>
    <w:p w14:paraId="1235E26F" w14:textId="77777777" w:rsidR="00EB1879" w:rsidRDefault="00EB1879" w:rsidP="00293617">
      <w:pPr>
        <w:pStyle w:val="Prrafodelista"/>
        <w:numPr>
          <w:ilvl w:val="0"/>
          <w:numId w:val="8"/>
        </w:numPr>
        <w:spacing w:line="276" w:lineRule="auto"/>
        <w:jc w:val="both"/>
      </w:pPr>
      <w:r>
        <w:t>No se presentó evidencia suficiente sobre publicación integral de información financiera específica del programa.</w:t>
      </w:r>
    </w:p>
    <w:p w14:paraId="47C2EBBE" w14:textId="383C8694" w:rsidR="00A165BB" w:rsidRPr="00A165BB" w:rsidRDefault="00EB1879" w:rsidP="00293617">
      <w:pPr>
        <w:pStyle w:val="Prrafodelista"/>
        <w:numPr>
          <w:ilvl w:val="0"/>
          <w:numId w:val="8"/>
        </w:numPr>
        <w:spacing w:line="276" w:lineRule="auto"/>
        <w:jc w:val="both"/>
      </w:pPr>
      <w:r>
        <w:t>No existen instrumentos formales para medir la satisfacción de la población atendida.</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69D99A66" w14:textId="77777777" w:rsidR="00293617" w:rsidRPr="00293617" w:rsidRDefault="00293617" w:rsidP="00293617">
      <w:pPr>
        <w:ind w:left="284"/>
        <w:jc w:val="both"/>
        <w:rPr>
          <w:lang w:val="es-ES"/>
        </w:rPr>
      </w:pPr>
      <w:r w:rsidRPr="00293617">
        <w:rPr>
          <w:lang w:val="es-ES"/>
        </w:rPr>
        <w:t xml:space="preserve">A pesar de que el programa tiene una base sólida y está alineado con la planeación estatal, el análisis actual revela debilidades operativas y estructurales que deben atenderse para no comprometer su efectividad. El programa cuenta con una Matriz de Indicadores para Resultados (MIR) y fichas técnicas alineadas al objetivo de atención educativa de la población migrante. </w:t>
      </w:r>
    </w:p>
    <w:p w14:paraId="5C0536E9" w14:textId="77777777" w:rsidR="00293617" w:rsidRPr="00293617" w:rsidRDefault="00293617" w:rsidP="00293617">
      <w:pPr>
        <w:ind w:left="284"/>
        <w:jc w:val="both"/>
        <w:rPr>
          <w:lang w:val="es-ES"/>
        </w:rPr>
      </w:pPr>
      <w:r w:rsidRPr="00293617">
        <w:rPr>
          <w:lang w:val="es-ES"/>
        </w:rPr>
        <w:t xml:space="preserve">Sin embargo, se identifica que la información de desempeño se concentra primordialmente en indicadores operativos y de cobertura, dejando de lado aspectos críticos como la permanencia escolar y los resultados educativos específicos de la población atendida.  El problema central de coordinación se manifiesta en los desfases y discrepancias entre los sistemas de información institucionales, exacerbados por la alta movilidad de la población migrante. Para que el programa cierre con éxito, es urgente reforzar los puentes con áreas como el Control Escolar Estatal y el Departamento de Estadística para homologar las bases de datos y reducir las brechas de información. </w:t>
      </w:r>
    </w:p>
    <w:p w14:paraId="31F36EB1" w14:textId="4F186C26" w:rsidR="00113BCD" w:rsidRDefault="00293617" w:rsidP="00293617">
      <w:pPr>
        <w:ind w:left="284"/>
        <w:jc w:val="both"/>
        <w:rPr>
          <w:lang w:val="es-ES"/>
        </w:rPr>
      </w:pPr>
      <w:r w:rsidRPr="00293617">
        <w:rPr>
          <w:lang w:val="es-ES"/>
        </w:rPr>
        <w:t xml:space="preserve">En resumen, el programa está bien construido en su diseño normativo, pero su efectividad total depende de lograr una mejor colaboración y de formalizar manuales de procedimientos que estandaricen la operación.  Finalmente, la efectividad del programa se ve limitada por la falta de evaluaciones de impacto y seguimiento longitudinal, lo que impide conocer la trayectoria educativa real de los beneficiarios. El avance actual en los distintos módulos refleja estas dificultades, particularmente en el área de operación y cobertura, donde se requiere integrar estrategias de proyecciones multianuales y mecanismos de participación ciudadana que actualmente son inexistentes.  </w:t>
      </w: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9B4703B" w14:textId="2F7DB6D0" w:rsidR="006E67EA" w:rsidRDefault="00EB1879" w:rsidP="006E67EA">
      <w:pPr>
        <w:pStyle w:val="Prrafodelista"/>
        <w:numPr>
          <w:ilvl w:val="0"/>
          <w:numId w:val="2"/>
        </w:numPr>
        <w:spacing w:after="0" w:line="276" w:lineRule="auto"/>
        <w:jc w:val="both"/>
      </w:pPr>
      <w:r w:rsidRPr="00EB1879">
        <w:t>Consolidar lineamientos estatales complementarios que fortalezcan la operación local del programa.</w:t>
      </w:r>
    </w:p>
    <w:p w14:paraId="4F9CC527" w14:textId="642FBD8C" w:rsidR="00EB1879" w:rsidRDefault="00EB1879" w:rsidP="006E67EA">
      <w:pPr>
        <w:pStyle w:val="Prrafodelista"/>
        <w:numPr>
          <w:ilvl w:val="0"/>
          <w:numId w:val="2"/>
        </w:numPr>
        <w:spacing w:after="0" w:line="276" w:lineRule="auto"/>
        <w:jc w:val="both"/>
      </w:pPr>
      <w:r w:rsidRPr="00EB1879">
        <w:t>Formalizar manuales de procedimientos y diagramas de flujo conforme a metodologías institucionales.</w:t>
      </w:r>
    </w:p>
    <w:p w14:paraId="224A1BE5" w14:textId="0B2C9B11" w:rsidR="00EB1879" w:rsidRDefault="00EB1879" w:rsidP="006E67EA">
      <w:pPr>
        <w:pStyle w:val="Prrafodelista"/>
        <w:numPr>
          <w:ilvl w:val="0"/>
          <w:numId w:val="2"/>
        </w:numPr>
        <w:spacing w:after="0" w:line="276" w:lineRule="auto"/>
        <w:jc w:val="both"/>
      </w:pPr>
      <w:r w:rsidRPr="00EB1879">
        <w:lastRenderedPageBreak/>
        <w:t>Incrementar la publicación de información financiera, operativa y de resultados en formatos abiertos y accesibles.</w:t>
      </w:r>
    </w:p>
    <w:p w14:paraId="13DC6B2A" w14:textId="77777777" w:rsidR="00EB1879" w:rsidRDefault="00EB1879" w:rsidP="00EB1879">
      <w:pPr>
        <w:pStyle w:val="Prrafodelista"/>
        <w:numPr>
          <w:ilvl w:val="0"/>
          <w:numId w:val="2"/>
        </w:numPr>
        <w:spacing w:after="0" w:line="276" w:lineRule="auto"/>
        <w:jc w:val="both"/>
      </w:pPr>
      <w:r>
        <w:t>Elaborar y formalizar lineamientos operativos estatales complementarios alineados a las ROP federales.</w:t>
      </w:r>
    </w:p>
    <w:p w14:paraId="39EEFE90" w14:textId="0A07EA40" w:rsidR="00EB1879" w:rsidRDefault="00EB1879" w:rsidP="00EB1879">
      <w:pPr>
        <w:pStyle w:val="Prrafodelista"/>
        <w:numPr>
          <w:ilvl w:val="0"/>
          <w:numId w:val="2"/>
        </w:numPr>
        <w:spacing w:after="0" w:line="276" w:lineRule="auto"/>
        <w:jc w:val="both"/>
      </w:pPr>
      <w:r>
        <w:t>Diseñar una estrategia de cobertura que incluya metas, evolución poblacional y requerimientos presupuestarios.</w:t>
      </w:r>
    </w:p>
    <w:p w14:paraId="3B65BA88" w14:textId="02545535" w:rsidR="00EB1879" w:rsidRDefault="00EB1879" w:rsidP="00EB1879">
      <w:pPr>
        <w:pStyle w:val="Prrafodelista"/>
        <w:numPr>
          <w:ilvl w:val="0"/>
          <w:numId w:val="2"/>
        </w:numPr>
        <w:spacing w:after="0" w:line="276" w:lineRule="auto"/>
        <w:jc w:val="both"/>
      </w:pPr>
      <w:r w:rsidRPr="00EB1879">
        <w:t>Incorporar indicadores relacionados con permanencia escolar y resultados educativos de la población migrante.</w:t>
      </w:r>
    </w:p>
    <w:p w14:paraId="2D62D442" w14:textId="7C88A53F" w:rsidR="00EB1879" w:rsidRPr="006E67EA" w:rsidRDefault="00EB1879" w:rsidP="00D54885">
      <w:pPr>
        <w:pStyle w:val="Prrafodelista"/>
        <w:numPr>
          <w:ilvl w:val="0"/>
          <w:numId w:val="2"/>
        </w:numPr>
        <w:spacing w:after="0" w:line="276" w:lineRule="auto"/>
        <w:jc w:val="both"/>
      </w:pPr>
      <w:r w:rsidRPr="00EB1879">
        <w:t>Diseñar e implementar mecanismos de consulta y participación con actores escolares y población beneficiari</w:t>
      </w:r>
      <w:r>
        <w:t xml:space="preserve">a, así como </w:t>
      </w:r>
      <w:r w:rsidRPr="00EB1879">
        <w:t>encuestas e instrumentos de satisfacción dirigidos a beneficiarios y actores operativos.</w:t>
      </w:r>
    </w:p>
    <w:p w14:paraId="6875A774" w14:textId="77777777" w:rsidR="000D2A1A" w:rsidRDefault="000D2A1A" w:rsidP="00A165BB">
      <w:pPr>
        <w:spacing w:after="0" w:line="276" w:lineRule="auto"/>
        <w:rPr>
          <w:b/>
          <w:bCs/>
          <w:color w:val="FFFFFF" w:themeColor="background1"/>
        </w:rPr>
      </w:pPr>
    </w:p>
    <w:p w14:paraId="711370E6" w14:textId="77777777" w:rsidR="00293617" w:rsidRDefault="00293617"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23A82">
        <w:trPr>
          <w:trHeight w:val="340"/>
        </w:trPr>
        <w:tc>
          <w:tcPr>
            <w:tcW w:w="9910" w:type="dxa"/>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223A82">
        <w:trPr>
          <w:trHeight w:val="340"/>
        </w:trPr>
        <w:tc>
          <w:tcPr>
            <w:tcW w:w="9910" w:type="dxa"/>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223A82">
        <w:trPr>
          <w:trHeight w:val="340"/>
        </w:trPr>
        <w:tc>
          <w:tcPr>
            <w:tcW w:w="9910" w:type="dxa"/>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p w14:paraId="2C25FDB8" w14:textId="77777777" w:rsidR="00293617" w:rsidRDefault="00293617"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E2068E">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223A82">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3E3F837F" w:rsidR="007C4CD6" w:rsidRPr="00521401" w:rsidRDefault="00293617" w:rsidP="00521401">
            <w:pPr>
              <w:spacing w:after="0" w:line="276" w:lineRule="auto"/>
              <w:ind w:left="179"/>
            </w:pPr>
            <w:r>
              <w:t>Apoyo a Migrantes</w:t>
            </w:r>
          </w:p>
        </w:tc>
      </w:tr>
      <w:tr w:rsidR="007C4CD6" w:rsidRPr="007C4CD6" w14:paraId="58672705" w14:textId="77777777" w:rsidTr="00223A82">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329F3689" w:rsidR="007C4CD6" w:rsidRPr="007C4CD6" w:rsidRDefault="00293617" w:rsidP="00521401">
            <w:pPr>
              <w:spacing w:after="0" w:line="276" w:lineRule="auto"/>
              <w:ind w:left="179"/>
            </w:pPr>
            <w:r>
              <w:t>AM</w:t>
            </w:r>
          </w:p>
        </w:tc>
      </w:tr>
      <w:tr w:rsidR="007C4CD6" w:rsidRPr="007C4CD6" w14:paraId="4335ADA6" w14:textId="77777777" w:rsidTr="00223A82">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12E87037" w:rsidR="007C4CD6" w:rsidRPr="007C4CD6" w:rsidRDefault="00293617" w:rsidP="00521401">
            <w:pPr>
              <w:spacing w:after="0" w:line="276" w:lineRule="auto"/>
              <w:ind w:left="179"/>
            </w:pPr>
            <w:r>
              <w:t>Secretaría de Educación Pública y Cultura (SEPyC)</w:t>
            </w:r>
          </w:p>
        </w:tc>
      </w:tr>
      <w:tr w:rsidR="007C4CD6" w:rsidRPr="007C4CD6" w14:paraId="655B10C7" w14:textId="77777777" w:rsidTr="00223A82">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223A82">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4DD328D6" w:rsidR="005A28B9" w:rsidRPr="00A16BE7" w:rsidRDefault="00293617"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223A82">
        <w:trPr>
          <w:trHeight w:val="340"/>
        </w:trPr>
        <w:tc>
          <w:tcPr>
            <w:tcW w:w="9910" w:type="dxa"/>
            <w:gridSpan w:val="3"/>
            <w:shd w:val="clear" w:color="auto" w:fill="F9F9F9"/>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lastRenderedPageBreak/>
              <w:t>Ámbito Gubernamental al que Pertenece(n) el(los) Programas):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9F9F9"/>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A8217C">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4BFBB6DF" w:rsidR="00090637" w:rsidRPr="00090637" w:rsidRDefault="00A8217C"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3"/>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3"/>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A8217C">
        <w:trPr>
          <w:trHeight w:val="340"/>
        </w:trPr>
        <w:tc>
          <w:tcPr>
            <w:tcW w:w="9910" w:type="dxa"/>
            <w:gridSpan w:val="3"/>
          </w:tcPr>
          <w:p w14:paraId="7091B8EA" w14:textId="734247C2" w:rsidR="005065B9" w:rsidRPr="00521401" w:rsidRDefault="00A8217C" w:rsidP="005065B9">
            <w:pPr>
              <w:spacing w:after="0" w:line="276" w:lineRule="auto"/>
              <w:ind w:left="179"/>
            </w:pPr>
            <w:r w:rsidRPr="00A8217C">
              <w:t>Mtra. María Gonzala Zapien Sánchez</w:t>
            </w:r>
          </w:p>
        </w:tc>
      </w:tr>
      <w:tr w:rsidR="00925C75" w:rsidRPr="00A753A2" w14:paraId="339ACE2F" w14:textId="77777777" w:rsidTr="00223A82">
        <w:trPr>
          <w:trHeight w:val="340"/>
        </w:trPr>
        <w:tc>
          <w:tcPr>
            <w:tcW w:w="9910" w:type="dxa"/>
            <w:gridSpan w:val="3"/>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A8217C">
        <w:trPr>
          <w:trHeight w:val="340"/>
        </w:trPr>
        <w:tc>
          <w:tcPr>
            <w:tcW w:w="9910" w:type="dxa"/>
            <w:gridSpan w:val="3"/>
          </w:tcPr>
          <w:p w14:paraId="54E4AA94" w14:textId="18932EA3" w:rsidR="00A4624B" w:rsidRPr="007301C5" w:rsidRDefault="00A8217C" w:rsidP="00A4624B">
            <w:pPr>
              <w:spacing w:after="0" w:line="276" w:lineRule="auto"/>
              <w:ind w:left="179"/>
            </w:pPr>
            <w:hyperlink r:id="rId9" w:history="1">
              <w:r w:rsidRPr="00C7160F">
                <w:rPr>
                  <w:rStyle w:val="Hipervnculo"/>
                </w:rPr>
                <w:t>maria.zapien@sepyc.gob.mx</w:t>
              </w:r>
            </w:hyperlink>
            <w:r>
              <w:t xml:space="preserve"> </w:t>
            </w:r>
          </w:p>
        </w:tc>
      </w:tr>
      <w:tr w:rsidR="00A753A2" w:rsidRPr="00A753A2" w14:paraId="688D65F7" w14:textId="77777777" w:rsidTr="00223A82">
        <w:trPr>
          <w:trHeight w:val="340"/>
        </w:trPr>
        <w:tc>
          <w:tcPr>
            <w:tcW w:w="9910" w:type="dxa"/>
            <w:gridSpan w:val="3"/>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A8217C">
        <w:trPr>
          <w:trHeight w:val="340"/>
        </w:trPr>
        <w:tc>
          <w:tcPr>
            <w:tcW w:w="9910" w:type="dxa"/>
            <w:gridSpan w:val="3"/>
            <w:vAlign w:val="center"/>
          </w:tcPr>
          <w:p w14:paraId="138DA773" w14:textId="128EF4E9" w:rsidR="004E1FF7" w:rsidRPr="007301C5" w:rsidRDefault="00A8217C" w:rsidP="004E1FF7">
            <w:pPr>
              <w:spacing w:after="0" w:line="276" w:lineRule="auto"/>
              <w:ind w:left="179"/>
            </w:pPr>
            <w:r w:rsidRPr="00A8217C">
              <w:t>Subsecretaría de Educación Básica</w:t>
            </w:r>
          </w:p>
        </w:tc>
      </w:tr>
      <w:tr w:rsidR="004E1FF7" w:rsidRPr="00A753A2" w14:paraId="70A117C4" w14:textId="77777777" w:rsidTr="00223A82">
        <w:trPr>
          <w:trHeight w:val="340"/>
        </w:trPr>
        <w:tc>
          <w:tcPr>
            <w:tcW w:w="9910" w:type="dxa"/>
            <w:gridSpan w:val="3"/>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A8217C">
        <w:trPr>
          <w:trHeight w:val="340"/>
        </w:trPr>
        <w:tc>
          <w:tcPr>
            <w:tcW w:w="9910" w:type="dxa"/>
            <w:gridSpan w:val="3"/>
          </w:tcPr>
          <w:p w14:paraId="6F19C066" w14:textId="00489A53" w:rsidR="004E1FF7" w:rsidRPr="007301C5" w:rsidRDefault="00A8217C" w:rsidP="004E1FF7">
            <w:pPr>
              <w:spacing w:after="0" w:line="276" w:lineRule="auto"/>
              <w:ind w:left="179"/>
            </w:pPr>
            <w:r>
              <w:t>(</w:t>
            </w:r>
            <w:r w:rsidRPr="00A8217C">
              <w:t>667</w:t>
            </w:r>
            <w:r>
              <w:t>)</w:t>
            </w:r>
            <w:r w:rsidRPr="00A8217C">
              <w:t xml:space="preserve"> 315 3070</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23A82">
        <w:trPr>
          <w:trHeight w:val="340"/>
        </w:trPr>
        <w:tc>
          <w:tcPr>
            <w:tcW w:w="9910" w:type="dxa"/>
            <w:gridSpan w:val="4"/>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223A82">
        <w:trPr>
          <w:trHeight w:val="340"/>
        </w:trPr>
        <w:tc>
          <w:tcPr>
            <w:tcW w:w="9910" w:type="dxa"/>
            <w:gridSpan w:val="4"/>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223A82">
        <w:trPr>
          <w:trHeight w:val="340"/>
        </w:trPr>
        <w:tc>
          <w:tcPr>
            <w:tcW w:w="9910" w:type="dxa"/>
            <w:gridSpan w:val="4"/>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C61D21">
        <w:trPr>
          <w:trHeight w:val="340"/>
        </w:trPr>
        <w:tc>
          <w:tcPr>
            <w:tcW w:w="9910" w:type="dxa"/>
            <w:gridSpan w:val="4"/>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4"/>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23A82" w14:paraId="5CBDEAA7" w14:textId="77777777" w:rsidTr="00C61D21">
        <w:trPr>
          <w:trHeight w:val="340"/>
        </w:trPr>
        <w:tc>
          <w:tcPr>
            <w:tcW w:w="9910" w:type="dxa"/>
            <w:gridSpan w:val="4"/>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4"/>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4"/>
            <w:vAlign w:val="center"/>
          </w:tcPr>
          <w:p w14:paraId="7D64613A" w14:textId="6DE37C06" w:rsidR="00223A82" w:rsidRPr="00866990" w:rsidRDefault="00223A82" w:rsidP="00223A82">
            <w:pPr>
              <w:spacing w:after="0" w:line="276" w:lineRule="auto"/>
              <w:ind w:left="179"/>
            </w:pPr>
            <w:r w:rsidRPr="00223A82">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23A82">
        <w:trPr>
          <w:trHeight w:val="340"/>
        </w:trPr>
        <w:tc>
          <w:tcPr>
            <w:tcW w:w="9910" w:type="dxa"/>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223A82">
        <w:trPr>
          <w:trHeight w:val="340"/>
        </w:trPr>
        <w:tc>
          <w:tcPr>
            <w:tcW w:w="9910" w:type="dxa"/>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rPr>
          <w:trHeight w:val="340"/>
        </w:trPr>
        <w:tc>
          <w:tcPr>
            <w:tcW w:w="9910" w:type="dxa"/>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1075714038" name="Imagen 10757140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C52607"/>
    <w:multiLevelType w:val="hybridMultilevel"/>
    <w:tmpl w:val="2208D42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857886309">
    <w:abstractNumId w:val="24"/>
  </w:num>
  <w:num w:numId="2" w16cid:durableId="982004771">
    <w:abstractNumId w:val="22"/>
  </w:num>
  <w:num w:numId="3" w16cid:durableId="959385301">
    <w:abstractNumId w:val="7"/>
  </w:num>
  <w:num w:numId="4" w16cid:durableId="174274456">
    <w:abstractNumId w:val="20"/>
  </w:num>
  <w:num w:numId="5" w16cid:durableId="1779062043">
    <w:abstractNumId w:val="2"/>
    <w:lvlOverride w:ilvl="1">
      <w:lvl w:ilvl="1">
        <w:start w:val="1"/>
        <w:numFmt w:val="decimal"/>
        <w:lvlText w:val="%1.%2."/>
        <w:lvlJc w:val="left"/>
        <w:pPr>
          <w:ind w:left="792" w:hanging="432"/>
        </w:pPr>
        <w:rPr>
          <w:b/>
        </w:rPr>
      </w:lvl>
    </w:lvlOverride>
  </w:num>
  <w:num w:numId="6" w16cid:durableId="125903216">
    <w:abstractNumId w:val="28"/>
  </w:num>
  <w:num w:numId="7" w16cid:durableId="1461069819">
    <w:abstractNumId w:val="29"/>
  </w:num>
  <w:num w:numId="8" w16cid:durableId="2139715845">
    <w:abstractNumId w:val="30"/>
  </w:num>
  <w:num w:numId="9" w16cid:durableId="272783974">
    <w:abstractNumId w:val="21"/>
  </w:num>
  <w:num w:numId="10" w16cid:durableId="555896927">
    <w:abstractNumId w:val="12"/>
  </w:num>
  <w:num w:numId="11" w16cid:durableId="1453866608">
    <w:abstractNumId w:val="14"/>
  </w:num>
  <w:num w:numId="12" w16cid:durableId="1111169506">
    <w:abstractNumId w:val="27"/>
  </w:num>
  <w:num w:numId="13" w16cid:durableId="323432202">
    <w:abstractNumId w:val="26"/>
  </w:num>
  <w:num w:numId="14" w16cid:durableId="1737437223">
    <w:abstractNumId w:val="23"/>
  </w:num>
  <w:num w:numId="15" w16cid:durableId="733506184">
    <w:abstractNumId w:val="16"/>
  </w:num>
  <w:num w:numId="16" w16cid:durableId="207304564">
    <w:abstractNumId w:val="4"/>
  </w:num>
  <w:num w:numId="17" w16cid:durableId="853690964">
    <w:abstractNumId w:val="6"/>
  </w:num>
  <w:num w:numId="18" w16cid:durableId="1169834969">
    <w:abstractNumId w:val="17"/>
  </w:num>
  <w:num w:numId="19" w16cid:durableId="37753297">
    <w:abstractNumId w:val="15"/>
  </w:num>
  <w:num w:numId="20" w16cid:durableId="1791196184">
    <w:abstractNumId w:val="5"/>
  </w:num>
  <w:num w:numId="21" w16cid:durableId="1019086784">
    <w:abstractNumId w:val="3"/>
  </w:num>
  <w:num w:numId="22" w16cid:durableId="2085181525">
    <w:abstractNumId w:val="13"/>
  </w:num>
  <w:num w:numId="23" w16cid:durableId="627051531">
    <w:abstractNumId w:val="25"/>
  </w:num>
  <w:num w:numId="24" w16cid:durableId="1313832917">
    <w:abstractNumId w:val="11"/>
  </w:num>
  <w:num w:numId="25" w16cid:durableId="600455615">
    <w:abstractNumId w:val="18"/>
  </w:num>
  <w:num w:numId="26" w16cid:durableId="887766741">
    <w:abstractNumId w:val="8"/>
  </w:num>
  <w:num w:numId="27" w16cid:durableId="823014440">
    <w:abstractNumId w:val="10"/>
  </w:num>
  <w:num w:numId="28" w16cid:durableId="1565330715">
    <w:abstractNumId w:val="0"/>
  </w:num>
  <w:num w:numId="29" w16cid:durableId="326789197">
    <w:abstractNumId w:val="9"/>
  </w:num>
  <w:num w:numId="30" w16cid:durableId="1053695591">
    <w:abstractNumId w:val="1"/>
  </w:num>
  <w:num w:numId="31" w16cid:durableId="66814152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B6A0F"/>
    <w:rsid w:val="001C5275"/>
    <w:rsid w:val="001D187A"/>
    <w:rsid w:val="001E5983"/>
    <w:rsid w:val="001E66BD"/>
    <w:rsid w:val="001F0D23"/>
    <w:rsid w:val="001F2C2A"/>
    <w:rsid w:val="001F6318"/>
    <w:rsid w:val="0020020C"/>
    <w:rsid w:val="0020155A"/>
    <w:rsid w:val="002030DF"/>
    <w:rsid w:val="002051F1"/>
    <w:rsid w:val="00214062"/>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3617"/>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6D02"/>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12DF5"/>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A6D69"/>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17C"/>
    <w:rsid w:val="00A82DED"/>
    <w:rsid w:val="00A84C9A"/>
    <w:rsid w:val="00A97B59"/>
    <w:rsid w:val="00AA2447"/>
    <w:rsid w:val="00AA3309"/>
    <w:rsid w:val="00AA6734"/>
    <w:rsid w:val="00AB2884"/>
    <w:rsid w:val="00AB5C90"/>
    <w:rsid w:val="00AB7481"/>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2A2D"/>
    <w:rsid w:val="00D27992"/>
    <w:rsid w:val="00D31A79"/>
    <w:rsid w:val="00D33ED2"/>
    <w:rsid w:val="00D433BA"/>
    <w:rsid w:val="00D51CB4"/>
    <w:rsid w:val="00D54A9B"/>
    <w:rsid w:val="00D557F6"/>
    <w:rsid w:val="00D617BA"/>
    <w:rsid w:val="00D625D5"/>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068E"/>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1879"/>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A82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zapien@sepyc.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67</TotalTime>
  <Pages>5</Pages>
  <Words>1742</Words>
  <Characters>9581</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18</cp:revision>
  <cp:lastPrinted>2022-06-17T19:35:00Z</cp:lastPrinted>
  <dcterms:created xsi:type="dcterms:W3CDTF">2022-12-06T19:20:00Z</dcterms:created>
  <dcterms:modified xsi:type="dcterms:W3CDTF">2026-06-03T21:07:00Z</dcterms:modified>
</cp:coreProperties>
</file>